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line="240" w:lineRule="auto"/>
        <w:ind w:firstLine="0" w:left="680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ПРОЕКТ</w:t>
      </w:r>
    </w:p>
    <w:p w14:paraId="05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</w:t>
      </w:r>
      <w:r>
        <w:rPr>
          <w:rFonts w:ascii="Times New Roman" w:hAnsi="Times New Roman"/>
          <w:sz w:val="24"/>
        </w:rPr>
        <w:t xml:space="preserve"> временно исполняющим обязанности Губернатора</w:t>
      </w:r>
    </w:p>
    <w:p w14:paraId="06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7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</w:t>
      </w:r>
      <w:r>
        <w:rPr>
          <w:rFonts w:ascii="Times New Roman" w:hAnsi="Times New Roman"/>
          <w:sz w:val="24"/>
        </w:rPr>
        <w:t xml:space="preserve"> </w:t>
      </w:r>
    </w:p>
    <w:p w14:paraId="08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министерством </w:t>
      </w:r>
      <w:r>
        <w:rPr>
          <w:rFonts w:ascii="Times New Roman" w:hAnsi="Times New Roman"/>
          <w:sz w:val="24"/>
        </w:rPr>
        <w:t>строительства, архитектуры</w:t>
      </w:r>
    </w:p>
    <w:p w14:paraId="09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территориального развития</w:t>
      </w:r>
    </w:p>
    <w:p w14:paraId="0A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области,</w:t>
      </w:r>
    </w:p>
    <w:p w14:paraId="0B000000">
      <w:pPr>
        <w:ind w:firstLine="0" w:left="6803"/>
      </w:pPr>
      <w:r>
        <w:t xml:space="preserve">министерством имущественных и земельных отношений, финансового </w:t>
      </w:r>
      <w:r>
        <w:t>оздоровления предприятий, организаций Ростовской области</w:t>
      </w:r>
    </w:p>
    <w:p w14:paraId="0C000000">
      <w:pPr>
        <w:spacing w:after="0" w:line="240" w:lineRule="auto"/>
        <w:ind w:firstLine="0" w:left="6803"/>
        <w:rPr>
          <w:rFonts w:ascii="Times New Roman" w:hAnsi="Times New Roman"/>
          <w:sz w:val="24"/>
        </w:rPr>
      </w:pPr>
    </w:p>
    <w:p w14:paraId="0D000000">
      <w:pPr>
        <w:ind w:firstLine="0" w:left="5386"/>
        <w:jc w:val="center"/>
        <w:rPr>
          <w:i w:val="1"/>
          <w:sz w:val="28"/>
        </w:rPr>
      </w:pPr>
    </w:p>
    <w:p w14:paraId="0E000000">
      <w:pPr>
        <w:ind w:firstLine="0" w:left="6237"/>
        <w:jc w:val="center"/>
        <w:rPr>
          <w:i w:val="1"/>
          <w:sz w:val="28"/>
        </w:rPr>
      </w:pPr>
    </w:p>
    <w:p w14:paraId="0F000000">
      <w:pPr>
        <w:ind w:firstLine="0" w:left="6237"/>
        <w:jc w:val="center"/>
        <w:rPr>
          <w:i w:val="1"/>
          <w:sz w:val="28"/>
        </w:rPr>
      </w:pPr>
    </w:p>
    <w:p w14:paraId="10000000">
      <w:pPr>
        <w:tabs>
          <w:tab w:leader="none" w:pos="0" w:val="left"/>
          <w:tab w:leader="none" w:pos="7371" w:val="left"/>
        </w:tabs>
        <w:ind/>
        <w:jc w:val="center"/>
        <w:rPr>
          <w:b w:val="1"/>
          <w:sz w:val="32"/>
        </w:rPr>
      </w:pPr>
      <w:r>
        <w:rPr>
          <w:b w:val="1"/>
          <w:sz w:val="32"/>
        </w:rPr>
        <w:t>ОБЛАСТНОЙ ЗАКОН</w:t>
      </w:r>
    </w:p>
    <w:p w14:paraId="11000000">
      <w:pPr>
        <w:tabs>
          <w:tab w:leader="none" w:pos="0" w:val="left"/>
          <w:tab w:leader="none" w:pos="7371" w:val="left"/>
        </w:tabs>
        <w:ind/>
        <w:jc w:val="center"/>
        <w:rPr>
          <w:b w:val="1"/>
          <w:sz w:val="32"/>
        </w:rPr>
      </w:pP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ОБ ОФИЦИАЛЬНОМ РАЗЪЯСНЕНИИ </w:t>
      </w:r>
    </w:p>
    <w:p w14:paraId="1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ОТДЕЛЬНЫХ ПОЛОЖЕНИЙ ОБЛАСТНОГО  ЗАКОНА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«О ПЕРЕРАСПРЕДЕЛЕНИИ ОТДЕЛЬНЫХ ПОЛНОМОЧИЙ МЕЖДУ ОРГАНАМИ МЕСТНОГО САМОУПРАВЛЕНИЯ И ОРГАНАМИ ГОСУДАРСТВЕННОЙ </w:t>
      </w:r>
      <w:r>
        <w:rPr>
          <w:b w:val="1"/>
          <w:sz w:val="28"/>
        </w:rPr>
        <w:t>ВЛАСТИ РОСТОВСКОЙ ОБЛАСТИ»</w:t>
      </w:r>
    </w:p>
    <w:p w14:paraId="14000000">
      <w:pPr>
        <w:widowControl w:val="0"/>
        <w:ind w:firstLine="0" w:left="-142" w:right="-285"/>
        <w:jc w:val="center"/>
        <w:rPr>
          <w:b w:val="1"/>
          <w:sz w:val="28"/>
        </w:rPr>
      </w:pPr>
    </w:p>
    <w:p w14:paraId="15000000">
      <w:pPr>
        <w:ind w:right="-285"/>
        <w:jc w:val="both"/>
        <w:rPr>
          <w:b w:val="1"/>
          <w:sz w:val="28"/>
        </w:rPr>
      </w:pPr>
    </w:p>
    <w:p w14:paraId="16000000">
      <w:pPr>
        <w:ind w:right="-285"/>
        <w:jc w:val="both"/>
        <w:rPr>
          <w:b w:val="1"/>
          <w:sz w:val="28"/>
        </w:rPr>
      </w:pPr>
      <w:r>
        <w:rPr>
          <w:b w:val="1"/>
          <w:sz w:val="28"/>
        </w:rPr>
        <w:t xml:space="preserve">                  Принят</w:t>
      </w:r>
    </w:p>
    <w:p w14:paraId="17000000">
      <w:pPr>
        <w:tabs>
          <w:tab w:leader="none" w:pos="1985" w:val="left"/>
          <w:tab w:leader="none" w:pos="3969" w:val="left"/>
        </w:tabs>
        <w:ind/>
        <w:rPr>
          <w:b w:val="1"/>
          <w:sz w:val="28"/>
        </w:rPr>
      </w:pPr>
      <w:r>
        <w:rPr>
          <w:b w:val="1"/>
          <w:sz w:val="28"/>
        </w:rPr>
        <w:t>Законодательным Собранием                                       «____»_________ 2025 года</w:t>
      </w:r>
    </w:p>
    <w:p w14:paraId="18000000">
      <w:pPr>
        <w:ind w:right="-285"/>
        <w:jc w:val="both"/>
        <w:rPr>
          <w:b w:val="1"/>
          <w:sz w:val="28"/>
        </w:rPr>
      </w:pPr>
      <w:r>
        <w:rPr>
          <w:b w:val="1"/>
          <w:sz w:val="28"/>
        </w:rPr>
        <w:t xml:space="preserve">  </w:t>
      </w:r>
    </w:p>
    <w:p w14:paraId="19000000">
      <w:pPr>
        <w:spacing w:line="360" w:lineRule="auto"/>
        <w:ind w:firstLine="720" w:left="0" w:right="-285"/>
        <w:jc w:val="both"/>
        <w:rPr>
          <w:b w:val="1"/>
          <w:sz w:val="16"/>
        </w:rPr>
      </w:pPr>
    </w:p>
    <w:p w14:paraId="1A000000">
      <w:pPr>
        <w:pStyle w:val="Style_2"/>
        <w:spacing w:line="360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B000000">
      <w:pPr>
        <w:pStyle w:val="Style_2"/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1. Настоящий Областной закон в соответствии с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"https://login.consultant.ru/link/?req=doc&amp;base=RLAW186&amp;n=1019&amp;dst=100180"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пунктом 5 части 2              статьи 43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Устава Ростовской области разъясняет порядок применения отдельных положений Областного закона от 28 декабря 2024 года </w:t>
      </w:r>
      <w:r>
        <w:rPr>
          <w:sz w:val="28"/>
        </w:rPr>
        <w:br/>
      </w:r>
      <w:r>
        <w:rPr>
          <w:sz w:val="28"/>
        </w:rPr>
        <w:t>№ 251-ЗС «О перераспределении отдельных полномочий между орган</w:t>
      </w:r>
      <w:r>
        <w:rPr>
          <w:sz w:val="28"/>
        </w:rPr>
        <w:t>ами местного самоуправления и органами государственной власти Ростовской области» (далее – Областной закон).</w:t>
      </w:r>
    </w:p>
    <w:p w14:paraId="1C000000">
      <w:pPr>
        <w:pStyle w:val="Style_2"/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2. В настоящем Областном законе используются понятия и термины, предусмотренные Областным законом.</w:t>
      </w:r>
    </w:p>
    <w:p w14:paraId="1D000000">
      <w:pPr>
        <w:spacing w:after="1" w:line="360" w:lineRule="auto"/>
        <w:ind w:firstLine="851" w:left="0"/>
        <w:jc w:val="both"/>
        <w:rPr>
          <w:b w:val="1"/>
          <w:sz w:val="28"/>
        </w:rPr>
      </w:pPr>
    </w:p>
    <w:p w14:paraId="1E000000">
      <w:pPr>
        <w:spacing w:after="1" w:line="360" w:lineRule="auto"/>
        <w:ind w:firstLine="851" w:left="0"/>
        <w:jc w:val="both"/>
        <w:rPr>
          <w:b w:val="1"/>
          <w:sz w:val="28"/>
        </w:rPr>
      </w:pPr>
    </w:p>
    <w:p w14:paraId="1F000000">
      <w:pPr>
        <w:spacing w:after="1" w:line="360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20000000">
      <w:pPr>
        <w:spacing w:after="1" w:line="360" w:lineRule="auto"/>
        <w:ind w:firstLine="851" w:left="0"/>
        <w:jc w:val="both"/>
        <w:rPr>
          <w:rStyle w:val="Style_4_ch"/>
          <w:sz w:val="28"/>
        </w:rPr>
      </w:pPr>
      <w:bookmarkStart w:id="1" w:name="P0"/>
      <w:bookmarkEnd w:id="1"/>
      <w:r>
        <w:rPr>
          <w:sz w:val="28"/>
        </w:rPr>
        <w:t>1. Действие положений подпункта «а» п</w:t>
      </w:r>
      <w:r>
        <w:rPr>
          <w:sz w:val="28"/>
        </w:rPr>
        <w:t>ункта 3 части 1 статьи 2 Областного закона не распространяется на правоотношения по утверждению проектов межевания</w:t>
      </w:r>
      <w:r>
        <w:rPr>
          <w:rStyle w:val="Style_4_ch"/>
          <w:sz w:val="28"/>
        </w:rPr>
        <w:t xml:space="preserve"> территории</w:t>
      </w:r>
      <w:r>
        <w:rPr>
          <w:sz w:val="28"/>
        </w:rPr>
        <w:t xml:space="preserve">, решения о подготовке которых </w:t>
      </w:r>
      <w:r>
        <w:rPr>
          <w:rStyle w:val="Style_4_ch"/>
          <w:sz w:val="28"/>
        </w:rPr>
        <w:t>в целях определения местоположения границ образуемых и изменяемых земельных участков</w:t>
      </w:r>
      <w:r>
        <w:rPr>
          <w:sz w:val="28"/>
        </w:rPr>
        <w:t xml:space="preserve"> приняты до дня </w:t>
      </w:r>
      <w:r>
        <w:rPr>
          <w:sz w:val="28"/>
        </w:rPr>
        <w:t xml:space="preserve">вступления в силу Областного закона. </w:t>
      </w:r>
    </w:p>
    <w:p w14:paraId="21000000">
      <w:pPr>
        <w:spacing w:after="1" w:line="360" w:lineRule="auto"/>
        <w:ind w:firstLine="851" w:left="0"/>
        <w:jc w:val="both"/>
        <w:rPr>
          <w:rStyle w:val="Style_4_ch"/>
          <w:sz w:val="28"/>
        </w:rPr>
      </w:pPr>
      <w:r>
        <w:rPr>
          <w:rStyle w:val="Style_4_ch"/>
          <w:sz w:val="28"/>
        </w:rPr>
        <w:t>2. Проекты межевания территории, указанные в части 1 настоящей статьи, утверждаются органами местного самоуправления, принявшими решения о</w:t>
      </w:r>
      <w:r>
        <w:rPr>
          <w:sz w:val="28"/>
        </w:rPr>
        <w:t> </w:t>
      </w:r>
      <w:r>
        <w:rPr>
          <w:rStyle w:val="Style_4_ch"/>
          <w:sz w:val="28"/>
        </w:rPr>
        <w:t xml:space="preserve">подготовке соответствующей документации по планировке территории. </w:t>
      </w:r>
    </w:p>
    <w:p w14:paraId="22000000">
      <w:pPr>
        <w:spacing w:after="120" w:line="360" w:lineRule="auto"/>
        <w:ind w:firstLine="851" w:left="0" w:right="-285"/>
        <w:rPr>
          <w:b w:val="1"/>
          <w:sz w:val="28"/>
        </w:rPr>
      </w:pPr>
    </w:p>
    <w:p w14:paraId="23000000">
      <w:pPr>
        <w:spacing w:after="120" w:line="360" w:lineRule="auto"/>
        <w:ind w:firstLine="851" w:left="0" w:right="-285"/>
        <w:rPr>
          <w:b w:val="1"/>
          <w:sz w:val="28"/>
        </w:rPr>
      </w:pPr>
      <w:r>
        <w:rPr>
          <w:b w:val="1"/>
          <w:sz w:val="28"/>
        </w:rPr>
        <w:t>Статья 3</w:t>
      </w:r>
    </w:p>
    <w:p w14:paraId="24000000">
      <w:pPr>
        <w:spacing w:after="1"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 xml:space="preserve">1. Действие положений подпунктов «а» – «в» пункта 3 части 1 статьи 2 Областного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"consultantplus://offline/ref=53BB4FAB0D7A4CAE6CD341017D361BD022D883153285E7661C6AD27E90D87AD07713E434FC45A6AF0FFE71839C11C3D1IClFH"</w:instrText>
      </w:r>
      <w:r>
        <w:rPr>
          <w:sz w:val="28"/>
        </w:rPr>
        <w:fldChar w:fldCharType="separate"/>
      </w:r>
      <w:r>
        <w:rPr>
          <w:sz w:val="28"/>
        </w:rPr>
        <w:t>закон</w:t>
      </w:r>
      <w:r>
        <w:rPr>
          <w:sz w:val="28"/>
        </w:rPr>
        <w:fldChar w:fldCharType="end"/>
      </w:r>
      <w:r>
        <w:rPr>
          <w:sz w:val="28"/>
        </w:rPr>
        <w:t>а не распространяется на п</w:t>
      </w:r>
      <w:r>
        <w:rPr>
          <w:sz w:val="28"/>
        </w:rPr>
        <w:t xml:space="preserve">равоотношения по принятию решений о подготовке документации по планировке территории, предусматривающей размещение линейных объектов, </w:t>
      </w:r>
      <w:r>
        <w:rPr>
          <w:rStyle w:val="Style_4_ch"/>
          <w:sz w:val="28"/>
        </w:rPr>
        <w:t>а  также н</w:t>
      </w:r>
      <w:r>
        <w:rPr>
          <w:sz w:val="28"/>
        </w:rPr>
        <w:t>а правоотношения по</w:t>
      </w:r>
      <w:r>
        <w:rPr>
          <w:rStyle w:val="Style_4_ch"/>
          <w:sz w:val="28"/>
        </w:rPr>
        <w:t xml:space="preserve"> подготовке и утверждению такой документации. </w:t>
      </w:r>
    </w:p>
    <w:p w14:paraId="25000000">
      <w:pPr>
        <w:spacing w:after="1" w:line="360" w:lineRule="auto"/>
        <w:ind w:firstLine="851" w:left="0"/>
        <w:jc w:val="both"/>
      </w:pPr>
      <w:r>
        <w:rPr>
          <w:sz w:val="28"/>
        </w:rPr>
        <w:t>2. Принятие решений о подготовке документации,</w:t>
      </w:r>
      <w:r>
        <w:rPr>
          <w:sz w:val="28"/>
        </w:rPr>
        <w:t xml:space="preserve"> указанной в части 1 настоящей статьи, </w:t>
      </w:r>
      <w:r>
        <w:rPr>
          <w:rStyle w:val="Style_4_ch"/>
          <w:sz w:val="28"/>
        </w:rPr>
        <w:t xml:space="preserve">а также подготовка и утверждение такой документации осуществляются органами местного самоуправления, в компетенцию которых входит </w:t>
      </w:r>
      <w:r>
        <w:rPr>
          <w:sz w:val="28"/>
        </w:rPr>
        <w:t>выдача разрешений на строительство, разрешений на ввод объектов в</w:t>
      </w:r>
      <w:r>
        <w:rPr>
          <w:sz w:val="28"/>
        </w:rPr>
        <w:t> </w:t>
      </w:r>
      <w:r>
        <w:rPr>
          <w:sz w:val="28"/>
        </w:rPr>
        <w:t>эксплуатацию при осущ</w:t>
      </w:r>
      <w:r>
        <w:rPr>
          <w:sz w:val="28"/>
        </w:rPr>
        <w:t>ествлении строительства, реконструкции линейных объектов.</w:t>
      </w:r>
    </w:p>
    <w:p w14:paraId="26000000">
      <w:pPr>
        <w:spacing w:after="120" w:line="360" w:lineRule="auto"/>
        <w:ind w:firstLine="851" w:left="0" w:right="-285"/>
        <w:rPr>
          <w:b w:val="1"/>
          <w:sz w:val="28"/>
        </w:rPr>
      </w:pPr>
    </w:p>
    <w:p w14:paraId="27000000">
      <w:pPr>
        <w:spacing w:after="120" w:line="360" w:lineRule="auto"/>
        <w:ind w:firstLine="851" w:left="0" w:right="-285"/>
        <w:rPr>
          <w:b w:val="1"/>
          <w:sz w:val="28"/>
        </w:rPr>
      </w:pPr>
      <w:r>
        <w:rPr>
          <w:b w:val="1"/>
          <w:sz w:val="28"/>
        </w:rPr>
        <w:t>Статья 4</w:t>
      </w:r>
    </w:p>
    <w:p w14:paraId="28000000">
      <w:pPr>
        <w:spacing w:after="120" w:line="360" w:lineRule="auto"/>
        <w:ind w:firstLine="851" w:left="0"/>
        <w:jc w:val="both"/>
      </w:pPr>
      <w:r>
        <w:rPr>
          <w:sz w:val="28"/>
        </w:rPr>
        <w:t xml:space="preserve">Действие положений подпунктов «а» – «в» пункта 3 части 1 статьи 2 Областного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"consultantplus://offline/ref=53BB4FAB0D7A4CAE6CD341017D361BD022D883153285E7661C6AD27E90D87AD07713E434FC45A6AF0FFE71839C11C3D1IClFH"</w:instrText>
      </w:r>
      <w:r>
        <w:rPr>
          <w:sz w:val="28"/>
        </w:rPr>
        <w:fldChar w:fldCharType="separate"/>
      </w:r>
      <w:r>
        <w:rPr>
          <w:sz w:val="28"/>
        </w:rPr>
        <w:t>закон</w:t>
      </w:r>
      <w:r>
        <w:rPr>
          <w:sz w:val="28"/>
        </w:rPr>
        <w:fldChar w:fldCharType="end"/>
      </w:r>
      <w:r>
        <w:rPr>
          <w:sz w:val="28"/>
        </w:rPr>
        <w:t>а распространяется, в том числе на правоотношения, связанные с внесением изменений и отменой документации по планировке территории, утвержденной Правительством Ростовской области или</w:t>
      </w:r>
      <w:r>
        <w:rPr>
          <w:sz w:val="28"/>
        </w:rPr>
        <w:t> </w:t>
      </w:r>
      <w:r>
        <w:rPr>
          <w:sz w:val="28"/>
        </w:rPr>
        <w:t>уполномоченным им</w:t>
      </w:r>
      <w:r>
        <w:rPr>
          <w:sz w:val="28"/>
        </w:rPr>
        <w:t> </w:t>
      </w:r>
      <w:r>
        <w:rPr>
          <w:sz w:val="28"/>
        </w:rPr>
        <w:t>исполнительным о</w:t>
      </w:r>
      <w:r>
        <w:rPr>
          <w:sz w:val="28"/>
        </w:rPr>
        <w:t>рганом Ростовской области</w:t>
      </w:r>
      <w:r>
        <w:rPr>
          <w:rStyle w:val="Style_4_ch"/>
          <w:sz w:val="28"/>
        </w:rPr>
        <w:t>.</w:t>
      </w:r>
    </w:p>
    <w:p w14:paraId="29000000">
      <w:pPr>
        <w:spacing w:after="120" w:line="360" w:lineRule="auto"/>
        <w:ind w:firstLine="851" w:left="0" w:right="-285"/>
        <w:rPr>
          <w:sz w:val="28"/>
        </w:rPr>
      </w:pPr>
      <w:r>
        <w:rPr>
          <w:b w:val="1"/>
          <w:sz w:val="28"/>
        </w:rPr>
        <w:t>Статья 5</w:t>
      </w:r>
    </w:p>
    <w:p w14:paraId="2A000000">
      <w:pPr>
        <w:spacing w:after="120"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1. Действие положений подпункта «а» пункта 4 части 1 статьи 2 Областного закона не распространяется на правоотношения по принятию решений о внесении изменений </w:t>
      </w:r>
      <w:r>
        <w:rPr>
          <w:rStyle w:val="Style_4_ch"/>
          <w:sz w:val="28"/>
        </w:rPr>
        <w:t>в разрешения на строительство</w:t>
      </w:r>
      <w:r>
        <w:rPr>
          <w:sz w:val="28"/>
        </w:rPr>
        <w:t xml:space="preserve"> </w:t>
      </w:r>
      <w:r>
        <w:rPr>
          <w:rStyle w:val="Style_4_ch"/>
          <w:sz w:val="28"/>
        </w:rPr>
        <w:t>(в том числе в</w:t>
      </w:r>
      <w:r>
        <w:rPr>
          <w:sz w:val="28"/>
        </w:rPr>
        <w:t> </w:t>
      </w:r>
      <w:r>
        <w:rPr>
          <w:rStyle w:val="Style_4_ch"/>
          <w:sz w:val="28"/>
        </w:rPr>
        <w:t>связи с необходи</w:t>
      </w:r>
      <w:r>
        <w:rPr>
          <w:rStyle w:val="Style_4_ch"/>
          <w:sz w:val="28"/>
        </w:rPr>
        <w:t xml:space="preserve">мостью продления срока действия разрешения на строительство), о прекращении действия разрешений на строительство, </w:t>
      </w:r>
      <w:r>
        <w:rPr>
          <w:sz w:val="28"/>
        </w:rPr>
        <w:t>о</w:t>
      </w:r>
      <w:r>
        <w:rPr>
          <w:sz w:val="28"/>
        </w:rPr>
        <w:t> </w:t>
      </w:r>
      <w:r>
        <w:rPr>
          <w:sz w:val="28"/>
        </w:rPr>
        <w:t xml:space="preserve">внесении изменений </w:t>
      </w:r>
      <w:r>
        <w:rPr>
          <w:rStyle w:val="Style_4_ch"/>
          <w:sz w:val="28"/>
        </w:rPr>
        <w:t xml:space="preserve">в разрешения на ввод объекта в эксплуатацию, выданные до </w:t>
      </w:r>
      <w:r>
        <w:rPr>
          <w:sz w:val="28"/>
        </w:rPr>
        <w:t>дня вступления в силу Областного закона.</w:t>
      </w:r>
    </w:p>
    <w:p w14:paraId="2B000000">
      <w:pPr>
        <w:spacing w:after="120"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>2. Принятие решений</w:t>
      </w:r>
      <w:r>
        <w:rPr>
          <w:rStyle w:val="Style_4_ch"/>
          <w:sz w:val="28"/>
        </w:rPr>
        <w:t>, ук</w:t>
      </w:r>
      <w:r>
        <w:rPr>
          <w:rStyle w:val="Style_4_ch"/>
          <w:sz w:val="28"/>
        </w:rPr>
        <w:t>азанных в части 1 настоящей статьи, осуществляется органами местного самоуправления, выдавшими соответствующие разрешения на строительство, разрешения на ввод объекта в</w:t>
      </w:r>
      <w:r>
        <w:rPr>
          <w:sz w:val="28"/>
        </w:rPr>
        <w:t> </w:t>
      </w:r>
      <w:r>
        <w:rPr>
          <w:rStyle w:val="Style_4_ch"/>
          <w:sz w:val="28"/>
        </w:rPr>
        <w:t>эксплуатацию.</w:t>
      </w:r>
    </w:p>
    <w:p w14:paraId="2C000000">
      <w:pPr>
        <w:tabs>
          <w:tab w:leader="none" w:pos="4820" w:val="left"/>
        </w:tabs>
        <w:spacing w:line="360" w:lineRule="auto"/>
        <w:ind w:firstLine="851" w:left="0"/>
        <w:jc w:val="both"/>
        <w:outlineLvl w:val="0"/>
        <w:rPr>
          <w:b w:val="1"/>
          <w:sz w:val="28"/>
        </w:rPr>
      </w:pPr>
    </w:p>
    <w:p w14:paraId="2D000000">
      <w:pPr>
        <w:tabs>
          <w:tab w:leader="none" w:pos="4820" w:val="left"/>
        </w:tabs>
        <w:spacing w:line="360" w:lineRule="auto"/>
        <w:ind w:firstLine="851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Статья 6</w:t>
      </w:r>
    </w:p>
    <w:p w14:paraId="2E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>1. Действие положений подпункта «а» пункта 5 части 1 статьи 2 О</w:t>
      </w:r>
      <w:r>
        <w:rPr>
          <w:sz w:val="28"/>
        </w:rPr>
        <w:t>бластного закона не распространяется на правоотношения по утверждению схем расположения земельного участка или земельных участков, государственная собственность на которые не разграничена, на кадастровом плане соответствующей территории в следующих случаях</w:t>
      </w:r>
      <w:r>
        <w:rPr>
          <w:sz w:val="28"/>
        </w:rPr>
        <w:t>:</w:t>
      </w:r>
    </w:p>
    <w:p w14:paraId="2F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>1) изъятия земельного участка или земельных участков для</w:t>
      </w:r>
      <w:r>
        <w:rPr>
          <w:sz w:val="28"/>
        </w:rPr>
        <w:t> </w:t>
      </w:r>
      <w:r>
        <w:rPr>
          <w:sz w:val="28"/>
        </w:rPr>
        <w:t>муниципальных нужд;</w:t>
      </w:r>
    </w:p>
    <w:p w14:paraId="30000000">
      <w:pPr>
        <w:spacing w:after="1"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>2) если заявления об утверждении схем расположения земельного участка или земельных участков на кадастровом плане соответствующей территории были поданы до дня вступления в силу</w:t>
      </w:r>
      <w:r>
        <w:rPr>
          <w:sz w:val="28"/>
        </w:rPr>
        <w:t xml:space="preserve"> Областного закона. </w:t>
      </w:r>
    </w:p>
    <w:p w14:paraId="31000000">
      <w:pPr>
        <w:spacing w:after="1" w:line="360" w:lineRule="auto"/>
        <w:ind w:firstLine="851" w:left="0"/>
        <w:jc w:val="both"/>
        <w:rPr>
          <w:rStyle w:val="Style_4_ch"/>
          <w:sz w:val="28"/>
        </w:rPr>
      </w:pPr>
      <w:r>
        <w:rPr>
          <w:rStyle w:val="Style_4_ch"/>
          <w:sz w:val="28"/>
        </w:rPr>
        <w:t xml:space="preserve">2. </w:t>
      </w:r>
      <w:r>
        <w:rPr>
          <w:sz w:val="28"/>
        </w:rPr>
        <w:t>Схемы расположения земельного участка или земельных участков на</w:t>
      </w:r>
      <w:r>
        <w:rPr>
          <w:sz w:val="28"/>
        </w:rPr>
        <w:t> </w:t>
      </w:r>
      <w:r>
        <w:rPr>
          <w:sz w:val="28"/>
        </w:rPr>
        <w:t>кадастровом плане соответствующей территории в случаях</w:t>
      </w:r>
      <w:r>
        <w:rPr>
          <w:rStyle w:val="Style_4_ch"/>
          <w:sz w:val="28"/>
        </w:rPr>
        <w:t>, указанных в</w:t>
      </w:r>
      <w:r>
        <w:rPr>
          <w:sz w:val="28"/>
        </w:rPr>
        <w:t> </w:t>
      </w:r>
      <w:r>
        <w:rPr>
          <w:rStyle w:val="Style_4_ch"/>
          <w:sz w:val="28"/>
        </w:rPr>
        <w:t>части 1 настоящей статьи, утверждаются органами местного самоуправления в</w:t>
      </w:r>
      <w:r>
        <w:rPr>
          <w:sz w:val="28"/>
        </w:rPr>
        <w:t> </w:t>
      </w:r>
      <w:r>
        <w:rPr>
          <w:rStyle w:val="Style_4_ch"/>
          <w:sz w:val="28"/>
        </w:rPr>
        <w:t>соответствии с их компетен</w:t>
      </w:r>
      <w:r>
        <w:rPr>
          <w:rStyle w:val="Style_4_ch"/>
          <w:sz w:val="28"/>
        </w:rPr>
        <w:t xml:space="preserve">цией. </w:t>
      </w:r>
    </w:p>
    <w:p w14:paraId="32000000">
      <w:pPr>
        <w:tabs>
          <w:tab w:leader="none" w:pos="4820" w:val="left"/>
        </w:tabs>
        <w:spacing w:line="360" w:lineRule="auto"/>
        <w:ind w:firstLine="851" w:left="0"/>
        <w:jc w:val="both"/>
        <w:outlineLvl w:val="0"/>
        <w:rPr>
          <w:b w:val="1"/>
          <w:sz w:val="28"/>
        </w:rPr>
      </w:pPr>
    </w:p>
    <w:p w14:paraId="33000000">
      <w:pPr>
        <w:tabs>
          <w:tab w:leader="none" w:pos="4820" w:val="left"/>
        </w:tabs>
        <w:spacing w:line="360" w:lineRule="auto"/>
        <w:ind w:firstLine="851" w:left="0"/>
        <w:jc w:val="both"/>
        <w:outlineLvl w:val="0"/>
        <w:rPr>
          <w:sz w:val="28"/>
        </w:rPr>
      </w:pPr>
      <w:r>
        <w:rPr>
          <w:b w:val="1"/>
          <w:sz w:val="28"/>
        </w:rPr>
        <w:t>Статья 7</w:t>
      </w:r>
    </w:p>
    <w:p w14:paraId="34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>1. Действие положений подпункта «б» пункта 5 части 1 статьи 2  Областного закона не распространяется на правоотношения по</w:t>
      </w:r>
      <w:r>
        <w:rPr>
          <w:sz w:val="28"/>
        </w:rPr>
        <w:t> </w:t>
      </w:r>
      <w:r>
        <w:rPr>
          <w:sz w:val="28"/>
        </w:rPr>
        <w:t>предоставлению земельных участков, государственная собственность на которые не разграничена, в следующих случаях:</w:t>
      </w:r>
    </w:p>
    <w:p w14:paraId="35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sz w:val="28"/>
        </w:rPr>
        <w:t>обмена таких земельных участков на земельные участки, находящиеся в</w:t>
      </w:r>
      <w:r>
        <w:rPr>
          <w:sz w:val="28"/>
        </w:rPr>
        <w:t> </w:t>
      </w:r>
      <w:r>
        <w:rPr>
          <w:sz w:val="28"/>
        </w:rPr>
        <w:t>частной собственности и изымаемые для муниципальных нужд;</w:t>
      </w:r>
    </w:p>
    <w:p w14:paraId="36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2) обмена таких земельных участков на земельные участки, которые находятся в частной собственности и предназначены в соответствии </w:t>
      </w:r>
      <w:r>
        <w:rPr>
          <w:sz w:val="28"/>
        </w:rPr>
        <w:t>с</w:t>
      </w:r>
      <w:r>
        <w:rPr>
          <w:sz w:val="28"/>
        </w:rPr>
        <w:t> </w:t>
      </w:r>
      <w:r>
        <w:rPr>
          <w:sz w:val="28"/>
        </w:rPr>
        <w:t>утвержденными проектами планировки территории и проектами межевания территории для размещения линейных объектов или на которых расположены указанные объекты;</w:t>
      </w:r>
    </w:p>
    <w:p w14:paraId="37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>3) если заявления о предоставлении таких земельных участков были поданы и (или)</w:t>
      </w:r>
      <w:r>
        <w:rPr>
          <w:sz w:val="28"/>
        </w:rPr>
        <w:t xml:space="preserve"> решения о проведении аукционов по их предоставлению, о</w:t>
      </w:r>
      <w:r>
        <w:rPr>
          <w:sz w:val="28"/>
        </w:rPr>
        <w:t> </w:t>
      </w:r>
      <w:r>
        <w:rPr>
          <w:sz w:val="28"/>
        </w:rPr>
        <w:t>предварительном согласовании их предоставления были приняты до дня вступления в силу Областного закона.</w:t>
      </w:r>
    </w:p>
    <w:p w14:paraId="38000000">
      <w:pPr>
        <w:spacing w:after="120"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>2. Полномочия, связанные с предоставлением земельных участков из</w:t>
      </w:r>
      <w:r>
        <w:rPr>
          <w:sz w:val="28"/>
        </w:rPr>
        <w:t> </w:t>
      </w:r>
      <w:r>
        <w:rPr>
          <w:sz w:val="28"/>
        </w:rPr>
        <w:t>числа</w:t>
      </w:r>
      <w:r>
        <w:rPr>
          <w:rStyle w:val="Style_4_ch"/>
          <w:sz w:val="28"/>
        </w:rPr>
        <w:t xml:space="preserve"> указанных</w:t>
      </w:r>
      <w:r>
        <w:rPr>
          <w:rStyle w:val="Style_4_ch"/>
          <w:sz w:val="28"/>
        </w:rPr>
        <w:t xml:space="preserve"> в части 1 настоящей статьи, а также полномочия</w:t>
      </w:r>
      <w:r>
        <w:rPr>
          <w:sz w:val="28"/>
        </w:rPr>
        <w:t xml:space="preserve"> арендодателя, ссудодателя, продавца по</w:t>
      </w:r>
      <w:r>
        <w:rPr>
          <w:rStyle w:val="Style_4_ch"/>
          <w:sz w:val="28"/>
        </w:rPr>
        <w:t xml:space="preserve"> </w:t>
      </w:r>
      <w:r>
        <w:rPr>
          <w:sz w:val="28"/>
        </w:rPr>
        <w:t xml:space="preserve">договорам аренды, безвозмездного пользования, </w:t>
      </w:r>
      <w:r>
        <w:br/>
      </w:r>
      <w:r>
        <w:rPr>
          <w:sz w:val="28"/>
        </w:rPr>
        <w:t>купли-продажи, мены земельных участков,</w:t>
      </w:r>
      <w:r>
        <w:rPr>
          <w:rStyle w:val="Style_4_ch"/>
          <w:sz w:val="28"/>
        </w:rPr>
        <w:t xml:space="preserve"> </w:t>
      </w:r>
      <w:r>
        <w:rPr>
          <w:sz w:val="28"/>
        </w:rPr>
        <w:t>заключенным до дня вступления в</w:t>
      </w:r>
      <w:r>
        <w:rPr>
          <w:sz w:val="28"/>
        </w:rPr>
        <w:t> </w:t>
      </w:r>
      <w:r>
        <w:rPr>
          <w:sz w:val="28"/>
        </w:rPr>
        <w:t>силу Областного закона,</w:t>
      </w:r>
      <w:r>
        <w:rPr>
          <w:rStyle w:val="Style_4_ch"/>
          <w:sz w:val="28"/>
        </w:rPr>
        <w:t xml:space="preserve"> осуществляются органами ме</w:t>
      </w:r>
      <w:r>
        <w:rPr>
          <w:rStyle w:val="Style_4_ch"/>
          <w:sz w:val="28"/>
        </w:rPr>
        <w:t>стного самоуправления в</w:t>
      </w:r>
      <w:r>
        <w:rPr>
          <w:sz w:val="28"/>
        </w:rPr>
        <w:t> </w:t>
      </w:r>
      <w:r>
        <w:rPr>
          <w:rStyle w:val="Style_4_ch"/>
          <w:sz w:val="28"/>
        </w:rPr>
        <w:t>соответствии с их компетенцией.</w:t>
      </w:r>
    </w:p>
    <w:p w14:paraId="39000000">
      <w:pPr>
        <w:spacing w:line="360" w:lineRule="auto"/>
        <w:ind w:firstLine="851" w:left="0"/>
        <w:jc w:val="both"/>
        <w:rPr>
          <w:b w:val="1"/>
          <w:sz w:val="28"/>
        </w:rPr>
      </w:pPr>
    </w:p>
    <w:p w14:paraId="3A000000">
      <w:pPr>
        <w:spacing w:line="360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8</w:t>
      </w:r>
    </w:p>
    <w:p w14:paraId="3B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1. Действие положений абзацев второго – четвертого подпункта</w:t>
      </w:r>
      <w:r>
        <w:rPr>
          <w:sz w:val="28"/>
        </w:rPr>
        <w:t> </w:t>
      </w:r>
      <w:r>
        <w:rPr>
          <w:sz w:val="28"/>
        </w:rPr>
        <w:t>«а» и</w:t>
      </w:r>
      <w:r>
        <w:rPr>
          <w:sz w:val="28"/>
        </w:rPr>
        <w:t> </w:t>
      </w:r>
      <w:r>
        <w:rPr>
          <w:sz w:val="28"/>
        </w:rPr>
        <w:t>абзацев второго – пятого подпункта «б» пункта 5 части 1 статьи 2 Областного закона не распространяется на правоотношения по</w:t>
      </w:r>
      <w:r>
        <w:rPr>
          <w:sz w:val="28"/>
        </w:rPr>
        <w:t xml:space="preserve"> утверждению схем расположения земельного участка или земельных участков, государственная собственность на которые не разграничена, на кадастровом плане </w:t>
      </w:r>
      <w:r>
        <w:rPr>
          <w:sz w:val="28"/>
        </w:rPr>
        <w:t xml:space="preserve">соответствующей территории и (или) по предоставлению земельных участков, государственная собственность </w:t>
      </w:r>
      <w:r>
        <w:rPr>
          <w:sz w:val="28"/>
        </w:rPr>
        <w:t>на которые не разграничена, в случае если, помимо указанных в абзацах втором – четвертом подпункта «а» и абзаца</w:t>
      </w:r>
      <w:r>
        <w:br/>
      </w:r>
      <w:r>
        <w:rPr>
          <w:sz w:val="28"/>
        </w:rPr>
        <w:t xml:space="preserve"> втором – пятом подпункта «б» пункта 5 части 1 статьи 2 Областного закона видов их</w:t>
      </w:r>
      <w:r>
        <w:rPr>
          <w:sz w:val="28"/>
        </w:rPr>
        <w:t> </w:t>
      </w:r>
      <w:r>
        <w:rPr>
          <w:sz w:val="28"/>
        </w:rPr>
        <w:t xml:space="preserve">использования, соответствующие земельные участки имеют также </w:t>
      </w:r>
      <w:r>
        <w:rPr>
          <w:sz w:val="28"/>
        </w:rPr>
        <w:t>и иные виды разрешенного использования.</w:t>
      </w:r>
    </w:p>
    <w:p w14:paraId="3C000000">
      <w:pPr>
        <w:spacing w:after="1"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2. Утверждение схем расположения земельного участка или земельных участков на кадастровом плане соответствующей территории и (или)  предоставление земельных участков в случае, </w:t>
      </w:r>
      <w:r>
        <w:rPr>
          <w:rStyle w:val="Style_4_ch"/>
          <w:sz w:val="28"/>
        </w:rPr>
        <w:t>указанном в части 1 настоящей статьи,</w:t>
      </w:r>
      <w:r>
        <w:rPr>
          <w:sz w:val="28"/>
        </w:rPr>
        <w:t xml:space="preserve"> ос</w:t>
      </w:r>
      <w:r>
        <w:rPr>
          <w:sz w:val="28"/>
        </w:rPr>
        <w:t>уществляется Правительством Ростовской области или</w:t>
      </w:r>
      <w:r>
        <w:rPr>
          <w:sz w:val="28"/>
        </w:rPr>
        <w:t> </w:t>
      </w:r>
      <w:r>
        <w:rPr>
          <w:sz w:val="28"/>
        </w:rPr>
        <w:t>уполномоченным им исполнительным органом Ростовской области.</w:t>
      </w:r>
    </w:p>
    <w:p w14:paraId="3D000000">
      <w:pPr>
        <w:spacing w:line="360" w:lineRule="auto"/>
        <w:ind w:firstLine="851" w:left="0"/>
        <w:jc w:val="both"/>
        <w:rPr>
          <w:b w:val="1"/>
          <w:sz w:val="28"/>
        </w:rPr>
      </w:pPr>
    </w:p>
    <w:p w14:paraId="3E000000">
      <w:pPr>
        <w:spacing w:line="360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9</w:t>
      </w:r>
    </w:p>
    <w:p w14:paraId="3F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>1. Действие положений абзаца третьего подпункта «б» пункта 5 части 1 статьи 2  Областного закона распространяется, в том числе на прав</w:t>
      </w:r>
      <w:r>
        <w:rPr>
          <w:sz w:val="28"/>
        </w:rPr>
        <w:t>оотношения по предоставлению земельных участков для индивидуального гаражного строительства.</w:t>
      </w:r>
    </w:p>
    <w:p w14:paraId="40000000">
      <w:pPr>
        <w:spacing w:after="120"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 xml:space="preserve">2. Предоставление земельных участков, государственная собственность на которые не разграничена, для индивидуального гаражного строительства </w:t>
      </w:r>
      <w:r>
        <w:rPr>
          <w:rStyle w:val="Style_4_ch"/>
          <w:sz w:val="28"/>
        </w:rPr>
        <w:t>осуществляется органами</w:t>
      </w:r>
      <w:r>
        <w:rPr>
          <w:rStyle w:val="Style_4_ch"/>
          <w:sz w:val="28"/>
        </w:rPr>
        <w:t xml:space="preserve"> местного самоуправления в соответствии с</w:t>
      </w:r>
      <w:r>
        <w:rPr>
          <w:sz w:val="28"/>
        </w:rPr>
        <w:t> </w:t>
      </w:r>
      <w:r>
        <w:rPr>
          <w:rStyle w:val="Style_4_ch"/>
          <w:sz w:val="28"/>
        </w:rPr>
        <w:t>их</w:t>
      </w:r>
      <w:r>
        <w:rPr>
          <w:sz w:val="28"/>
        </w:rPr>
        <w:t> </w:t>
      </w:r>
      <w:r>
        <w:rPr>
          <w:rStyle w:val="Style_4_ch"/>
          <w:sz w:val="28"/>
        </w:rPr>
        <w:t>компетенцией.</w:t>
      </w:r>
    </w:p>
    <w:p w14:paraId="41000000">
      <w:pPr>
        <w:spacing w:line="360" w:lineRule="auto"/>
        <w:ind w:firstLine="851" w:left="0"/>
        <w:jc w:val="both"/>
        <w:rPr>
          <w:b w:val="1"/>
          <w:sz w:val="28"/>
        </w:rPr>
      </w:pPr>
    </w:p>
    <w:p w14:paraId="42000000">
      <w:pPr>
        <w:spacing w:line="360" w:lineRule="auto"/>
        <w:ind w:firstLine="851" w:left="0"/>
        <w:jc w:val="both"/>
        <w:rPr>
          <w:b w:val="1"/>
          <w:sz w:val="28"/>
        </w:rPr>
      </w:pPr>
      <w:r>
        <w:rPr>
          <w:b w:val="1"/>
          <w:sz w:val="28"/>
        </w:rPr>
        <w:t>Статья 10</w:t>
      </w:r>
    </w:p>
    <w:p w14:paraId="43000000">
      <w:pPr>
        <w:spacing w:line="360" w:lineRule="auto"/>
        <w:ind w:firstLine="851" w:left="0"/>
        <w:jc w:val="both"/>
        <w:rPr>
          <w:rStyle w:val="Style_4_ch"/>
          <w:sz w:val="28"/>
        </w:rPr>
      </w:pPr>
      <w:r>
        <w:rPr>
          <w:sz w:val="28"/>
        </w:rPr>
        <w:t>1. Предусмотренные федеральным и областным законодательством полномочия органов, уполномоченных на предоставление земельных участков, государственная собственность на которые не разграни</w:t>
      </w:r>
      <w:r>
        <w:rPr>
          <w:sz w:val="28"/>
        </w:rPr>
        <w:t>чена, осуществляются Правительством Ростовской области или уполномоченным им исполнительным органом Ростовской области</w:t>
      </w:r>
      <w:r>
        <w:rPr>
          <w:rStyle w:val="Style_4_ch"/>
          <w:sz w:val="28"/>
        </w:rPr>
        <w:t xml:space="preserve"> в отношении земельных участков, по которым им принимается решение об их предоставлении.</w:t>
      </w:r>
    </w:p>
    <w:p w14:paraId="44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2. В отношении иных </w:t>
      </w:r>
      <w:r>
        <w:rPr>
          <w:sz w:val="28"/>
        </w:rPr>
        <w:t xml:space="preserve">земельных участков, государственная собственность на которые не разграничена, указанные в части 1 настоящей статьи полномочия, а также полномочия по выдаче разрешений на использование земель и земельных участков, государственная собственность на которые не разграничена, без предоставления земельных участков и установления сервитута, публичного сервитута </w:t>
      </w:r>
      <w:r>
        <w:rPr>
          <w:sz w:val="28"/>
        </w:rPr>
        <w:t>осуществляются органами местного самоуправления в соответствии с их компетенцией.</w:t>
      </w:r>
    </w:p>
    <w:p w14:paraId="45000000">
      <w:pPr>
        <w:spacing w:after="120" w:line="360" w:lineRule="auto"/>
        <w:ind w:firstLine="851" w:left="0" w:right="-285"/>
        <w:rPr>
          <w:b w:val="1"/>
          <w:sz w:val="28"/>
        </w:rPr>
      </w:pPr>
    </w:p>
    <w:p w14:paraId="46000000">
      <w:pPr>
        <w:spacing w:after="120" w:line="360" w:lineRule="auto"/>
        <w:ind w:firstLine="851" w:left="0" w:right="-285"/>
        <w:rPr>
          <w:b w:val="1"/>
          <w:sz w:val="28"/>
        </w:rPr>
      </w:pPr>
      <w:r>
        <w:rPr>
          <w:rStyle w:val="Style_4_ch"/>
          <w:b w:val="1"/>
          <w:sz w:val="28"/>
        </w:rPr>
        <w:t>Статья 11</w:t>
      </w:r>
    </w:p>
    <w:p w14:paraId="47000000">
      <w:pPr>
        <w:spacing w:line="360" w:lineRule="auto"/>
        <w:ind w:firstLine="851" w:left="0"/>
        <w:jc w:val="both"/>
        <w:rPr>
          <w:sz w:val="28"/>
        </w:rPr>
      </w:pPr>
      <w:r>
        <w:rPr>
          <w:sz w:val="28"/>
        </w:rPr>
        <w:t xml:space="preserve">Настоящий Областной закон вступает в силу со дня его официального </w:t>
      </w:r>
      <w:r>
        <w:rPr>
          <w:sz w:val="28"/>
        </w:rPr>
        <w:t>опубликования.</w:t>
      </w:r>
    </w:p>
    <w:p w14:paraId="48000000">
      <w:pPr>
        <w:spacing w:line="360" w:lineRule="auto"/>
        <w:ind w:firstLine="851" w:left="0"/>
        <w:jc w:val="both"/>
        <w:rPr>
          <w:sz w:val="28"/>
        </w:rPr>
      </w:pPr>
    </w:p>
    <w:p w14:paraId="49000000">
      <w:pPr>
        <w:spacing w:line="360" w:lineRule="auto"/>
        <w:ind w:firstLine="567" w:left="0" w:right="-285"/>
        <w:jc w:val="both"/>
        <w:rPr>
          <w:sz w:val="28"/>
        </w:rPr>
      </w:pPr>
    </w:p>
    <w:p w14:paraId="4A000000">
      <w:pPr>
        <w:tabs>
          <w:tab w:leader="none" w:pos="567" w:val="left"/>
        </w:tabs>
        <w:spacing w:line="276" w:lineRule="auto"/>
        <w:ind w:right="-285"/>
        <w:jc w:val="both"/>
        <w:rPr>
          <w:sz w:val="28"/>
        </w:rPr>
      </w:pPr>
      <w:r>
        <w:rPr>
          <w:sz w:val="28"/>
        </w:rPr>
        <w:t xml:space="preserve">      Временно исполняющий обязанности</w:t>
      </w:r>
    </w:p>
    <w:p w14:paraId="4B000000">
      <w:pPr>
        <w:rPr>
          <w:sz w:val="28"/>
        </w:rPr>
      </w:pPr>
      <w:r>
        <w:rPr>
          <w:sz w:val="28"/>
        </w:rPr>
        <w:t xml:space="preserve">           Губернатора Ростовской области                                                 Ю.Б. Слюсарь</w:t>
      </w:r>
    </w:p>
    <w:p w14:paraId="4C000000">
      <w:pPr>
        <w:rPr>
          <w:sz w:val="28"/>
        </w:rPr>
      </w:pPr>
    </w:p>
    <w:p w14:paraId="4D000000">
      <w:pPr>
        <w:rPr>
          <w:sz w:val="28"/>
        </w:rPr>
      </w:pPr>
    </w:p>
    <w:p w14:paraId="4E000000">
      <w:pPr>
        <w:rPr>
          <w:sz w:val="28"/>
        </w:rPr>
      </w:pPr>
    </w:p>
    <w:p w14:paraId="4F000000">
      <w:pPr>
        <w:rPr>
          <w:sz w:val="28"/>
        </w:rPr>
      </w:pPr>
    </w:p>
    <w:p w14:paraId="50000000">
      <w:pPr>
        <w:rPr>
          <w:sz w:val="28"/>
        </w:rPr>
      </w:pPr>
    </w:p>
    <w:p w14:paraId="51000000">
      <w:pPr>
        <w:rPr>
          <w:sz w:val="28"/>
        </w:rPr>
      </w:pPr>
    </w:p>
    <w:p w14:paraId="52000000">
      <w:pPr>
        <w:rPr>
          <w:sz w:val="28"/>
        </w:rPr>
      </w:pPr>
    </w:p>
    <w:p w14:paraId="53000000">
      <w:pPr>
        <w:rPr>
          <w:sz w:val="28"/>
        </w:rPr>
      </w:pPr>
    </w:p>
    <w:tbl>
      <w:tblPr>
        <w:tblStyle w:val="Style_5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681"/>
        <w:gridCol w:w="3115"/>
        <w:gridCol w:w="3128"/>
      </w:tblGrid>
      <w:tr>
        <w:tc>
          <w:tcPr>
            <w:tcW w:type="dxa" w:w="368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ind/>
              <w:jc w:val="center"/>
            </w:pPr>
            <w:r>
              <w:t>Исполняющий обязанности</w:t>
            </w:r>
          </w:p>
          <w:p w14:paraId="55000000">
            <w:pPr>
              <w:ind/>
              <w:jc w:val="center"/>
            </w:pPr>
            <w:r>
              <w:t xml:space="preserve">министра строительства, </w:t>
            </w:r>
            <w:r>
              <w:br/>
            </w:r>
            <w:r>
              <w:t xml:space="preserve">архитектуры и территориального </w:t>
            </w:r>
            <w:r>
              <w:t>развития Ростовской области</w:t>
            </w:r>
          </w:p>
        </w:tc>
        <w:tc>
          <w:tcPr>
            <w:tcW w:type="dxa" w:w="311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/>
        </w:tc>
        <w:tc>
          <w:tcPr>
            <w:tcW w:type="dxa" w:w="312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right"/>
            </w:pPr>
          </w:p>
          <w:p w14:paraId="58000000">
            <w:pPr>
              <w:ind/>
              <w:jc w:val="right"/>
            </w:pPr>
          </w:p>
          <w:p w14:paraId="59000000">
            <w:pPr>
              <w:ind/>
              <w:jc w:val="right"/>
            </w:pPr>
          </w:p>
          <w:p w14:paraId="5A000000">
            <w:pPr>
              <w:ind/>
              <w:jc w:val="right"/>
            </w:pPr>
            <w:r>
              <w:t>С.А. Вифлянцев</w:t>
            </w:r>
          </w:p>
        </w:tc>
      </w:tr>
    </w:tbl>
    <w:p w14:paraId="5B000000">
      <w:pPr>
        <w:spacing w:line="276" w:lineRule="auto"/>
        <w:ind/>
        <w:jc w:val="both"/>
      </w:pPr>
    </w:p>
    <w:p w14:paraId="5C000000">
      <w:pPr>
        <w:spacing w:line="276" w:lineRule="auto"/>
        <w:ind/>
        <w:jc w:val="both"/>
      </w:pPr>
    </w:p>
    <w:tbl>
      <w:tblPr>
        <w:tblStyle w:val="Style_5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4018"/>
        <w:gridCol w:w="2530"/>
        <w:gridCol w:w="3357"/>
      </w:tblGrid>
      <w:tr>
        <w:tc>
          <w:tcPr>
            <w:tcW w:type="dxa" w:w="40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ind/>
              <w:jc w:val="center"/>
            </w:pPr>
            <w:r>
              <w:t>Исполняющий обязанности</w:t>
            </w:r>
          </w:p>
          <w:p w14:paraId="5E000000">
            <w:pPr>
              <w:ind/>
              <w:jc w:val="center"/>
            </w:pPr>
            <w:r>
              <w:t xml:space="preserve">министра имущественных </w:t>
            </w:r>
          </w:p>
          <w:p w14:paraId="5F000000">
            <w:pPr>
              <w:ind/>
              <w:jc w:val="center"/>
            </w:pPr>
            <w:r>
              <w:t xml:space="preserve">и земельных отношений, финансового оздоровления предприятий, организаций  Ростовской области </w:t>
            </w:r>
          </w:p>
        </w:tc>
        <w:tc>
          <w:tcPr>
            <w:tcW w:type="dxa" w:w="253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/>
        </w:tc>
        <w:tc>
          <w:tcPr>
            <w:tcW w:type="dxa" w:w="335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right"/>
            </w:pPr>
          </w:p>
          <w:p w14:paraId="62000000">
            <w:pPr>
              <w:ind/>
              <w:jc w:val="right"/>
            </w:pPr>
          </w:p>
          <w:p w14:paraId="63000000">
            <w:pPr>
              <w:ind/>
              <w:jc w:val="right"/>
            </w:pPr>
          </w:p>
          <w:p w14:paraId="64000000">
            <w:pPr>
              <w:ind/>
              <w:jc w:val="right"/>
            </w:pPr>
          </w:p>
          <w:p w14:paraId="65000000">
            <w:pPr>
              <w:ind/>
              <w:jc w:val="right"/>
            </w:pPr>
          </w:p>
          <w:p w14:paraId="66000000">
            <w:pPr>
              <w:ind/>
              <w:jc w:val="right"/>
            </w:pPr>
            <w:r>
              <w:t>С.А. Хлудин</w:t>
            </w:r>
          </w:p>
        </w:tc>
      </w:tr>
    </w:tbl>
    <w:p w14:paraId="67000000">
      <w:pPr>
        <w:spacing w:line="276" w:lineRule="auto"/>
        <w:ind/>
        <w:jc w:val="both"/>
      </w:pPr>
    </w:p>
    <w:sectPr>
      <w:headerReference r:id="rId1" w:type="first"/>
      <w:headerReference r:id="rId2" w:type="default"/>
      <w:pgSz w:h="16848" w:orient="portrait" w:w="11908"/>
      <w:pgMar w:bottom="1134" w:footer="720" w:gutter="0" w:header="720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right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center"/>
    </w:pP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4"/>
    <w:next w:val="Style_6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Balloon Text"/>
    <w:basedOn w:val="Style_6"/>
    <w:link w:val="Style_12_ch"/>
    <w:rPr>
      <w:rFonts w:ascii="Tahoma" w:hAnsi="Tahoma"/>
      <w:sz w:val="16"/>
    </w:rPr>
  </w:style>
  <w:style w:styleId="Style_12_ch" w:type="character">
    <w:name w:val="Balloon Text"/>
    <w:basedOn w:val="Style_6_ch"/>
    <w:link w:val="Style_12"/>
    <w:rPr>
      <w:rFonts w:ascii="Tahoma" w:hAnsi="Tahoma"/>
      <w:sz w:val="16"/>
    </w:rPr>
  </w:style>
  <w:style w:styleId="Style_13" w:type="paragraph">
    <w:name w:val="ConsPlusNormal"/>
    <w:link w:val="Style_13_ch"/>
    <w:rPr>
      <w:rFonts w:ascii="Arial" w:hAnsi="Arial"/>
    </w:rPr>
  </w:style>
  <w:style w:styleId="Style_13_ch" w:type="character">
    <w:name w:val="ConsPlusNormal"/>
    <w:link w:val="Style_13"/>
    <w:rPr>
      <w:rFonts w:ascii="Arial" w:hAnsi="Arial"/>
    </w:rPr>
  </w:style>
  <w:style w:styleId="Style_2" w:type="paragraph">
    <w:name w:val="No Spacing"/>
    <w:link w:val="Style_2_ch"/>
    <w:rPr>
      <w:sz w:val="24"/>
    </w:rPr>
  </w:style>
  <w:style w:styleId="Style_2_ch" w:type="character">
    <w:name w:val="No Spacing"/>
    <w:link w:val="Style_2"/>
    <w:rPr>
      <w:sz w:val="24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15" w:type="paragraph">
    <w:name w:val="heading 3"/>
    <w:next w:val="Style_6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3" w:type="paragraph">
    <w:name w:val="Гиперссылка2"/>
    <w:link w:val="Style_3_ch"/>
    <w:rPr>
      <w:color w:val="0000FF"/>
      <w:u w:val="single"/>
    </w:rPr>
  </w:style>
  <w:style w:styleId="Style_3_ch" w:type="character">
    <w:name w:val="Гиперссылка2"/>
    <w:link w:val="Style_3"/>
    <w:rPr>
      <w:color w:val="0000FF"/>
      <w:u w:val="single"/>
    </w:rPr>
  </w:style>
  <w:style w:styleId="Style_17" w:type="paragraph">
    <w:name w:val="Гиперссылка1"/>
    <w:basedOn w:val="Style_14"/>
    <w:link w:val="Style_17_ch"/>
    <w:rPr>
      <w:color w:val="0000FF"/>
    </w:rPr>
  </w:style>
  <w:style w:styleId="Style_17_ch" w:type="character">
    <w:name w:val="Гиперссылка1"/>
    <w:basedOn w:val="Style_14_ch"/>
    <w:link w:val="Style_17"/>
    <w:rPr>
      <w:color w:val="0000FF"/>
    </w:rPr>
  </w:style>
  <w:style w:styleId="Style_18" w:type="paragraph">
    <w:name w:val="footer"/>
    <w:basedOn w:val="Style_6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6_ch"/>
    <w:link w:val="Style_18"/>
  </w:style>
  <w:style w:styleId="Style_19" w:type="paragraph">
    <w:name w:val="Абзац"/>
    <w:link w:val="Style_19_ch"/>
    <w:pPr>
      <w:spacing w:line="360" w:lineRule="auto"/>
      <w:ind w:firstLine="720" w:left="0"/>
      <w:jc w:val="both"/>
    </w:pPr>
    <w:rPr>
      <w:sz w:val="28"/>
    </w:rPr>
  </w:style>
  <w:style w:styleId="Style_19_ch" w:type="character">
    <w:name w:val="Абзац"/>
    <w:link w:val="Style_19"/>
    <w:rPr>
      <w:sz w:val="28"/>
    </w:rPr>
  </w:style>
  <w:style w:styleId="Style_20" w:type="paragraph">
    <w:name w:val="toc 3"/>
    <w:next w:val="Style_6"/>
    <w:link w:val="Style_20_ch"/>
    <w:uiPriority w:val="39"/>
    <w:pPr>
      <w:ind w:firstLine="0" w:left="400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4" w:type="paragraph">
    <w:name w:val="Обычный1"/>
    <w:link w:val="Style_4_ch"/>
    <w:rPr>
      <w:sz w:val="24"/>
    </w:rPr>
  </w:style>
  <w:style w:styleId="Style_4_ch" w:type="character">
    <w:name w:val="Обычный1"/>
    <w:link w:val="Style_4"/>
    <w:rPr>
      <w:sz w:val="24"/>
    </w:rPr>
  </w:style>
  <w:style w:styleId="Style_21" w:type="paragraph">
    <w:name w:val="Абзац 1 и 2/10"/>
    <w:basedOn w:val="Style_6"/>
    <w:link w:val="Style_21_ch"/>
    <w:pPr>
      <w:spacing w:after="140" w:line="288" w:lineRule="auto"/>
      <w:ind w:firstLine="720" w:left="0"/>
      <w:jc w:val="both"/>
    </w:pPr>
    <w:rPr>
      <w:sz w:val="28"/>
    </w:rPr>
  </w:style>
  <w:style w:styleId="Style_21_ch" w:type="character">
    <w:name w:val="Абзац 1 и 2/10"/>
    <w:basedOn w:val="Style_6_ch"/>
    <w:link w:val="Style_21"/>
    <w:rPr>
      <w:sz w:val="28"/>
    </w:rPr>
  </w:style>
  <w:style w:styleId="Style_22" w:type="paragraph">
    <w:name w:val="List Paragraph"/>
    <w:basedOn w:val="Style_6"/>
    <w:link w:val="Style_22_ch"/>
    <w:pPr>
      <w:ind w:firstLine="0" w:left="720"/>
      <w:contextualSpacing w:val="1"/>
    </w:pPr>
  </w:style>
  <w:style w:styleId="Style_22_ch" w:type="character">
    <w:name w:val="List Paragraph"/>
    <w:basedOn w:val="Style_6_ch"/>
    <w:link w:val="Style_22"/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3" w:type="paragraph">
    <w:name w:val="heading 5"/>
    <w:next w:val="Style_6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6"/>
    <w:link w:val="Style_2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Номер страницы1"/>
    <w:basedOn w:val="Style_14"/>
    <w:link w:val="Style_25_ch"/>
  </w:style>
  <w:style w:styleId="Style_25_ch" w:type="character">
    <w:name w:val="Номер страницы1"/>
    <w:basedOn w:val="Style_14_ch"/>
    <w:link w:val="Style_25"/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6"/>
    <w:link w:val="Style_28_ch"/>
    <w:uiPriority w:val="39"/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ind/>
      <w:jc w:val="both"/>
    </w:pPr>
    <w:rPr>
      <w:rFonts w:ascii="XO Thames" w:hAnsi="XO Thames"/>
    </w:rPr>
  </w:style>
  <w:style w:styleId="Style_29_ch" w:type="character">
    <w:name w:val="Header and Footer"/>
    <w:link w:val="Style_29"/>
    <w:rPr>
      <w:rFonts w:ascii="XO Thames" w:hAnsi="XO Thames"/>
    </w:rPr>
  </w:style>
  <w:style w:styleId="Style_30" w:type="paragraph">
    <w:name w:val="Заголовок 2 Знак"/>
    <w:basedOn w:val="Style_31"/>
    <w:link w:val="Style_30_ch"/>
    <w:rPr>
      <w:rFonts w:ascii="Arial" w:hAnsi="Arial"/>
      <w:b w:val="1"/>
      <w:i w:val="1"/>
      <w:sz w:val="28"/>
    </w:rPr>
  </w:style>
  <w:style w:styleId="Style_30_ch" w:type="character">
    <w:name w:val="Заголовок 2 Знак"/>
    <w:basedOn w:val="Style_31_ch"/>
    <w:link w:val="Style_30"/>
    <w:rPr>
      <w:rFonts w:ascii="Arial" w:hAnsi="Arial"/>
      <w:b w:val="1"/>
      <w:i w:val="1"/>
      <w:sz w:val="28"/>
    </w:rPr>
  </w:style>
  <w:style w:styleId="Style_32" w:type="paragraph">
    <w:name w:val="toc 9"/>
    <w:next w:val="Style_6"/>
    <w:link w:val="Style_32_ch"/>
    <w:uiPriority w:val="39"/>
    <w:pPr>
      <w:ind w:firstLine="0"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Основной шрифт абзаца2"/>
    <w:link w:val="Style_33_ch"/>
  </w:style>
  <w:style w:styleId="Style_33_ch" w:type="character">
    <w:name w:val="Основной шрифт абзаца2"/>
    <w:link w:val="Style_33"/>
  </w:style>
  <w:style w:styleId="Style_34" w:type="paragraph">
    <w:name w:val="Основной шрифт абзаца3"/>
    <w:link w:val="Style_34_ch"/>
  </w:style>
  <w:style w:styleId="Style_34_ch" w:type="character">
    <w:name w:val="Основной шрифт абзаца3"/>
    <w:link w:val="Style_34"/>
  </w:style>
  <w:style w:styleId="Style_35" w:type="paragraph">
    <w:name w:val="toc 8"/>
    <w:next w:val="Style_6"/>
    <w:link w:val="Style_35_ch"/>
    <w:uiPriority w:val="39"/>
    <w:pPr>
      <w:ind w:firstLine="0" w:left="1400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toc 5"/>
    <w:next w:val="Style_6"/>
    <w:link w:val="Style_36_ch"/>
    <w:uiPriority w:val="39"/>
    <w:pPr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Subtitle"/>
    <w:next w:val="Style_6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1" w:type="paragraph">
    <w:name w:val="Обычный1"/>
    <w:link w:val="Style_31_ch"/>
    <w:rPr>
      <w:sz w:val="24"/>
    </w:rPr>
  </w:style>
  <w:style w:styleId="Style_31_ch" w:type="character">
    <w:name w:val="Обычный1"/>
    <w:link w:val="Style_31"/>
    <w:rPr>
      <w:sz w:val="24"/>
    </w:rPr>
  </w:style>
  <w:style w:styleId="Style_38" w:type="paragraph">
    <w:name w:val="Signature"/>
    <w:basedOn w:val="Style_6"/>
    <w:link w:val="Style_38_ch"/>
    <w:pPr>
      <w:spacing w:line="360" w:lineRule="auto"/>
      <w:ind/>
      <w:jc w:val="both"/>
    </w:pPr>
    <w:rPr>
      <w:sz w:val="28"/>
    </w:rPr>
  </w:style>
  <w:style w:styleId="Style_38_ch" w:type="character">
    <w:name w:val="Signature"/>
    <w:basedOn w:val="Style_6_ch"/>
    <w:link w:val="Style_38"/>
    <w:rPr>
      <w:sz w:val="28"/>
    </w:rPr>
  </w:style>
  <w:style w:styleId="Style_39" w:type="paragraph">
    <w:name w:val="Title"/>
    <w:next w:val="Style_6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6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Обычный1"/>
    <w:link w:val="Style_41_ch"/>
    <w:rPr>
      <w:sz w:val="24"/>
    </w:rPr>
  </w:style>
  <w:style w:styleId="Style_41_ch" w:type="character">
    <w:name w:val="Обычный1"/>
    <w:link w:val="Style_41"/>
    <w:rPr>
      <w:sz w:val="24"/>
    </w:rPr>
  </w:style>
  <w:style w:styleId="Style_42" w:type="paragraph">
    <w:name w:val="heading 2"/>
    <w:basedOn w:val="Style_6"/>
    <w:next w:val="Style_6"/>
    <w:link w:val="Style_42_ch"/>
    <w:uiPriority w:val="9"/>
    <w:qFormat/>
    <w:pPr>
      <w:keepNext w:val="1"/>
      <w:spacing w:after="60" w:before="240"/>
      <w:ind w:firstLine="720" w:left="0"/>
      <w:jc w:val="both"/>
      <w:outlineLvl w:val="1"/>
    </w:pPr>
    <w:rPr>
      <w:rFonts w:ascii="Arial" w:hAnsi="Arial"/>
      <w:b w:val="1"/>
      <w:i w:val="1"/>
      <w:sz w:val="28"/>
    </w:rPr>
  </w:style>
  <w:style w:styleId="Style_42_ch" w:type="character">
    <w:name w:val="heading 2"/>
    <w:basedOn w:val="Style_6_ch"/>
    <w:link w:val="Style_42"/>
    <w:rPr>
      <w:rFonts w:ascii="Arial" w:hAnsi="Arial"/>
      <w:b w:val="1"/>
      <w:i w:val="1"/>
      <w:sz w:val="28"/>
    </w:rPr>
  </w:style>
  <w:style w:styleId="Style_43" w:type="paragraph">
    <w:name w:val="Endnote"/>
    <w:link w:val="Style_43_ch"/>
    <w:pPr>
      <w:ind w:firstLine="851" w:left="0"/>
      <w:jc w:val="both"/>
    </w:pPr>
    <w:rPr>
      <w:rFonts w:ascii="XO Thames" w:hAnsi="XO Thames"/>
      <w:sz w:val="22"/>
    </w:rPr>
  </w:style>
  <w:style w:styleId="Style_43_ch" w:type="character">
    <w:name w:val="Endnote"/>
    <w:link w:val="Style_43"/>
    <w:rPr>
      <w:rFonts w:ascii="XO Thames" w:hAnsi="XO Thames"/>
      <w:sz w:val="22"/>
    </w:rPr>
  </w:style>
  <w:style w:styleId="Style_44" w:type="paragraph">
    <w:name w:val="Просмотренная гиперссылка1"/>
    <w:basedOn w:val="Style_14"/>
    <w:link w:val="Style_44_ch"/>
    <w:rPr>
      <w:color w:val="0000FF"/>
    </w:rPr>
  </w:style>
  <w:style w:styleId="Style_44_ch" w:type="character">
    <w:name w:val="Просмотренная гиперссылка1"/>
    <w:basedOn w:val="Style_14_ch"/>
    <w:link w:val="Style_44"/>
    <w:rPr>
      <w:color w:val="0000FF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2025-02-12T15:04:59Z</dcterms:modified>
</cp:coreProperties>
</file>